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0" w:type="auto"/>
        <w:tblInd w:w="-318" w:type="dxa"/>
        <w:tblLook w:val="04A0" w:firstRow="1" w:lastRow="0" w:firstColumn="1" w:lastColumn="0" w:noHBand="0" w:noVBand="1"/>
      </w:tblPr>
      <w:tblGrid>
        <w:gridCol w:w="1987"/>
        <w:gridCol w:w="7796"/>
      </w:tblGrid>
      <w:tr w:rsidR="006F6326" w:rsidTr="00603D61">
        <w:tc>
          <w:tcPr>
            <w:tcW w:w="0" w:type="auto"/>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0" w:type="auto"/>
          </w:tcPr>
          <w:p w:rsidR="00B87695" w:rsidRDefault="00FD2482" w:rsidP="00721109">
            <w:pPr>
              <w:rPr>
                <w:rFonts w:ascii="Arial" w:hAnsi="Arial" w:cs="Arial"/>
              </w:rPr>
            </w:pPr>
            <w:r>
              <w:rPr>
                <w:rFonts w:ascii="Arial" w:hAnsi="Arial" w:cs="Arial"/>
              </w:rPr>
              <w:t xml:space="preserve">Purchase of </w:t>
            </w:r>
            <w:r w:rsidR="008E1948">
              <w:rPr>
                <w:rFonts w:ascii="Arial" w:hAnsi="Arial" w:cs="Arial"/>
              </w:rPr>
              <w:t xml:space="preserve">the </w:t>
            </w:r>
            <w:r w:rsidR="002664B5">
              <w:rPr>
                <w:rFonts w:ascii="Arial" w:hAnsi="Arial" w:cs="Arial"/>
              </w:rPr>
              <w:t xml:space="preserve">extended and refurbished home at </w:t>
            </w:r>
            <w:r w:rsidR="00721109">
              <w:rPr>
                <w:rFonts w:ascii="Arial" w:hAnsi="Arial" w:cs="Arial"/>
              </w:rPr>
              <w:t>74 and 74a Foxwell Drive</w:t>
            </w:r>
          </w:p>
          <w:p w:rsidR="00A64D4C" w:rsidRPr="00A96C08" w:rsidRDefault="00A64D4C" w:rsidP="00721109">
            <w:pPr>
              <w:rPr>
                <w:rFonts w:ascii="Arial" w:hAnsi="Arial" w:cs="Arial"/>
              </w:rPr>
            </w:pPr>
          </w:p>
        </w:tc>
      </w:tr>
      <w:tr w:rsidR="006F6326" w:rsidTr="004C1D59">
        <w:tc>
          <w:tcPr>
            <w:tcW w:w="0" w:type="auto"/>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0" w:type="auto"/>
            <w:vAlign w:val="bottom"/>
          </w:tcPr>
          <w:p w:rsidR="00263039" w:rsidRDefault="004C1D59" w:rsidP="004C1D59">
            <w:pPr>
              <w:rPr>
                <w:rFonts w:ascii="Arial" w:hAnsi="Arial" w:cs="Arial"/>
              </w:rPr>
            </w:pPr>
            <w:r>
              <w:rPr>
                <w:rFonts w:ascii="Arial" w:hAnsi="Arial" w:cs="Arial"/>
              </w:rPr>
              <w:t>7</w:t>
            </w:r>
            <w:r w:rsidRPr="004C1D59">
              <w:rPr>
                <w:rFonts w:ascii="Arial" w:hAnsi="Arial" w:cs="Arial"/>
                <w:vertAlign w:val="superscript"/>
              </w:rPr>
              <w:t>th</w:t>
            </w:r>
            <w:r>
              <w:rPr>
                <w:rFonts w:ascii="Arial" w:hAnsi="Arial" w:cs="Arial"/>
              </w:rPr>
              <w:t xml:space="preserve"> June 2023</w:t>
            </w:r>
          </w:p>
          <w:p w:rsidR="00A730B0" w:rsidRPr="00A96C08" w:rsidRDefault="00A730B0" w:rsidP="004C1D59">
            <w:pPr>
              <w:rPr>
                <w:rFonts w:ascii="Arial" w:hAnsi="Arial" w:cs="Arial"/>
              </w:rPr>
            </w:pPr>
          </w:p>
        </w:tc>
      </w:tr>
      <w:tr w:rsidR="00854133" w:rsidTr="00603D61">
        <w:tc>
          <w:tcPr>
            <w:tcW w:w="0" w:type="auto"/>
          </w:tcPr>
          <w:p w:rsidR="00854133" w:rsidRPr="00854133" w:rsidRDefault="00854133" w:rsidP="00C6455F">
            <w:pPr>
              <w:spacing w:before="120" w:after="120"/>
              <w:rPr>
                <w:rFonts w:ascii="Arial" w:hAnsi="Arial" w:cs="Arial"/>
              </w:rPr>
            </w:pPr>
            <w:r>
              <w:rPr>
                <w:rFonts w:ascii="Arial" w:hAnsi="Arial" w:cs="Arial"/>
                <w:b/>
              </w:rPr>
              <w:t xml:space="preserve">Source of delegation: </w:t>
            </w:r>
          </w:p>
        </w:tc>
        <w:tc>
          <w:tcPr>
            <w:tcW w:w="0" w:type="auto"/>
          </w:tcPr>
          <w:p w:rsidR="00E32966" w:rsidRDefault="00E32966" w:rsidP="00E32966">
            <w:pPr>
              <w:rPr>
                <w:rFonts w:ascii="Arial" w:hAnsi="Arial" w:cs="Arial"/>
                <w:color w:val="000000" w:themeColor="text1"/>
              </w:rPr>
            </w:pPr>
            <w:r>
              <w:rPr>
                <w:rFonts w:ascii="Arial" w:hAnsi="Arial" w:cs="Arial"/>
                <w:color w:val="000000" w:themeColor="text1"/>
              </w:rPr>
              <w:t>Cabinet</w:t>
            </w:r>
            <w:r w:rsidR="00A730B0">
              <w:rPr>
                <w:rFonts w:ascii="Arial" w:hAnsi="Arial" w:cs="Arial"/>
                <w:color w:val="000000" w:themeColor="text1"/>
              </w:rPr>
              <w:t>,</w:t>
            </w:r>
            <w:r>
              <w:rPr>
                <w:rFonts w:ascii="Arial" w:hAnsi="Arial" w:cs="Arial"/>
                <w:color w:val="000000" w:themeColor="text1"/>
              </w:rPr>
              <w:t xml:space="preserve"> </w:t>
            </w:r>
            <w:hyperlink r:id="rId8" w:history="1">
              <w:r w:rsidRPr="00A730B0">
                <w:rPr>
                  <w:rStyle w:val="Hyperlink"/>
                  <w:rFonts w:ascii="Arial" w:hAnsi="Arial" w:cs="Arial"/>
                </w:rPr>
                <w:t>on 13</w:t>
              </w:r>
              <w:r w:rsidRPr="00A730B0">
                <w:rPr>
                  <w:rStyle w:val="Hyperlink"/>
                  <w:rFonts w:ascii="Arial" w:hAnsi="Arial" w:cs="Arial"/>
                  <w:vertAlign w:val="superscript"/>
                </w:rPr>
                <w:t>th</w:t>
              </w:r>
              <w:r w:rsidRPr="00A730B0">
                <w:rPr>
                  <w:rStyle w:val="Hyperlink"/>
                  <w:rFonts w:ascii="Arial" w:hAnsi="Arial" w:cs="Arial"/>
                </w:rPr>
                <w:t xml:space="preserve"> April 2022</w:t>
              </w:r>
            </w:hyperlink>
            <w:r w:rsidR="00A730B0">
              <w:rPr>
                <w:rFonts w:ascii="Arial" w:hAnsi="Arial" w:cs="Arial"/>
                <w:color w:val="000000" w:themeColor="text1"/>
              </w:rPr>
              <w:t>,</w:t>
            </w:r>
            <w:r>
              <w:rPr>
                <w:rFonts w:ascii="Arial" w:hAnsi="Arial" w:cs="Arial"/>
                <w:color w:val="000000" w:themeColor="text1"/>
              </w:rPr>
              <w:t xml:space="preserve"> </w:t>
            </w:r>
            <w:r w:rsidR="00A730B0">
              <w:rPr>
                <w:rFonts w:ascii="Arial" w:hAnsi="Arial" w:cs="Arial"/>
                <w:color w:val="000000" w:themeColor="text1"/>
              </w:rPr>
              <w:t>resolved to:</w:t>
            </w:r>
          </w:p>
          <w:p w:rsidR="00E32966" w:rsidRPr="00E32966" w:rsidRDefault="00E32966" w:rsidP="00E32966">
            <w:pPr>
              <w:rPr>
                <w:rFonts w:ascii="Arial" w:hAnsi="Arial" w:cs="Arial"/>
              </w:rPr>
            </w:pPr>
            <w:r w:rsidRPr="00E32966">
              <w:rPr>
                <w:rFonts w:ascii="Arial" w:hAnsi="Arial" w:cs="Arial"/>
              </w:rPr>
              <w:t xml:space="preserve"> </w:t>
            </w:r>
          </w:p>
          <w:p w:rsidR="004A049B" w:rsidRDefault="00A730B0" w:rsidP="009F08A4">
            <w:pPr>
              <w:ind w:left="425" w:hanging="420"/>
              <w:rPr>
                <w:rFonts w:ascii="Arial" w:hAnsi="Arial" w:cs="Arial"/>
              </w:rPr>
            </w:pPr>
            <w:r>
              <w:rPr>
                <w:rFonts w:ascii="Arial" w:hAnsi="Arial" w:cs="Arial"/>
              </w:rPr>
              <w:t xml:space="preserve">10. </w:t>
            </w:r>
            <w:r w:rsidR="00E32966" w:rsidRPr="00E32966">
              <w:rPr>
                <w:rFonts w:ascii="Arial" w:hAnsi="Arial" w:cs="Arial"/>
              </w:rPr>
              <w:t>Delegate authority to the Executive Director for Communities and People, in</w:t>
            </w:r>
            <w:r>
              <w:rPr>
                <w:rFonts w:ascii="Arial" w:hAnsi="Arial" w:cs="Arial"/>
              </w:rPr>
              <w:t xml:space="preserve"> </w:t>
            </w:r>
            <w:r w:rsidR="00E32966" w:rsidRPr="00E32966">
              <w:rPr>
                <w:rFonts w:ascii="Arial" w:hAnsi="Arial" w:cs="Arial"/>
              </w:rPr>
              <w:t>consultation with the Cabinet Member for Affordable Housing, Housing Security</w:t>
            </w:r>
            <w:r>
              <w:rPr>
                <w:rFonts w:ascii="Arial" w:hAnsi="Arial" w:cs="Arial"/>
              </w:rPr>
              <w:t xml:space="preserve"> </w:t>
            </w:r>
            <w:r w:rsidR="00E32966" w:rsidRPr="00E32966">
              <w:rPr>
                <w:rFonts w:ascii="Arial" w:hAnsi="Arial" w:cs="Arial"/>
              </w:rPr>
              <w:t>and Housing the Homeless; the Head of Financial Services/ Section 151 Officer; and the Head of Law and Governance, to enter into agreement and facilitate the agreed purchase by the HRA of the affordable housing units, from OCHL, referenced at paragraphs 16 to 20 of this report, at a cost that exceeds the usual financial parameters for the HRA in respect of the 5 properties listed in Table 3, within further information provided in the confidential Appendix 2, to ensure units remain at Social Rent, within overall budget envelopes f</w:t>
            </w:r>
            <w:r>
              <w:rPr>
                <w:rFonts w:ascii="Arial" w:hAnsi="Arial" w:cs="Arial"/>
              </w:rPr>
              <w:t>or affordable housing buy-backs.</w:t>
            </w:r>
          </w:p>
          <w:p w:rsidR="00A730B0" w:rsidRPr="00E20A54" w:rsidRDefault="00A730B0" w:rsidP="00E32966">
            <w:pPr>
              <w:rPr>
                <w:rFonts w:ascii="Arial" w:hAnsi="Arial" w:cs="Arial"/>
              </w:rPr>
            </w:pPr>
          </w:p>
        </w:tc>
      </w:tr>
      <w:tr w:rsidR="00B87695" w:rsidTr="00603D61">
        <w:tc>
          <w:tcPr>
            <w:tcW w:w="0" w:type="auto"/>
          </w:tcPr>
          <w:p w:rsidR="003B1236" w:rsidRPr="00B87695" w:rsidRDefault="00854133" w:rsidP="00C6455F">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0" w:type="auto"/>
          </w:tcPr>
          <w:p w:rsidR="006247C4" w:rsidRDefault="00FE0FF8" w:rsidP="00721109">
            <w:pPr>
              <w:rPr>
                <w:rFonts w:ascii="Arial" w:hAnsi="Arial" w:cs="Arial"/>
              </w:rPr>
            </w:pPr>
            <w:r>
              <w:rPr>
                <w:rFonts w:ascii="Arial" w:hAnsi="Arial" w:cs="Arial"/>
              </w:rPr>
              <w:t>To authorise the purchase</w:t>
            </w:r>
            <w:r w:rsidR="009F08A4">
              <w:rPr>
                <w:rFonts w:ascii="Arial" w:hAnsi="Arial" w:cs="Arial"/>
              </w:rPr>
              <w:t>,</w:t>
            </w:r>
            <w:r>
              <w:rPr>
                <w:rFonts w:ascii="Arial" w:hAnsi="Arial" w:cs="Arial"/>
              </w:rPr>
              <w:t xml:space="preserve"> by way of transfer</w:t>
            </w:r>
            <w:r w:rsidR="009F08A4">
              <w:rPr>
                <w:rFonts w:ascii="Arial" w:hAnsi="Arial" w:cs="Arial"/>
              </w:rPr>
              <w:t>, of</w:t>
            </w:r>
            <w:r>
              <w:rPr>
                <w:rFonts w:ascii="Arial" w:hAnsi="Arial" w:cs="Arial"/>
              </w:rPr>
              <w:t xml:space="preserve"> the</w:t>
            </w:r>
            <w:r w:rsidR="008E1948">
              <w:rPr>
                <w:rFonts w:ascii="Arial" w:hAnsi="Arial" w:cs="Arial"/>
              </w:rPr>
              <w:t xml:space="preserve"> completed property</w:t>
            </w:r>
            <w:r w:rsidR="00721109">
              <w:rPr>
                <w:rFonts w:ascii="Arial" w:hAnsi="Arial" w:cs="Arial"/>
              </w:rPr>
              <w:t xml:space="preserve"> and </w:t>
            </w:r>
            <w:r w:rsidR="002664B5">
              <w:rPr>
                <w:rFonts w:ascii="Arial" w:hAnsi="Arial" w:cs="Arial"/>
              </w:rPr>
              <w:t xml:space="preserve">refurbished home at </w:t>
            </w:r>
            <w:r w:rsidR="00721109">
              <w:rPr>
                <w:rFonts w:ascii="Arial" w:hAnsi="Arial" w:cs="Arial"/>
              </w:rPr>
              <w:t>74 and 74a Foxwell Drive</w:t>
            </w:r>
            <w:r w:rsidR="00FD2482">
              <w:rPr>
                <w:rFonts w:ascii="Arial" w:hAnsi="Arial" w:cs="Arial"/>
              </w:rPr>
              <w:t>, resulting from the Oxford City Housing Devel</w:t>
            </w:r>
            <w:r w:rsidR="009F08A4">
              <w:rPr>
                <w:rFonts w:ascii="Arial" w:hAnsi="Arial" w:cs="Arial"/>
              </w:rPr>
              <w:t>opment Ltd Extensions Programme</w:t>
            </w:r>
            <w:r w:rsidR="00A64D4C">
              <w:rPr>
                <w:rFonts w:ascii="Arial" w:hAnsi="Arial" w:cs="Arial"/>
              </w:rPr>
              <w:t>,</w:t>
            </w:r>
            <w:r w:rsidR="009F08A4">
              <w:rPr>
                <w:rFonts w:ascii="Arial" w:hAnsi="Arial" w:cs="Arial"/>
              </w:rPr>
              <w:t xml:space="preserve"> </w:t>
            </w:r>
            <w:r w:rsidR="009F08A4" w:rsidRPr="00344B35">
              <w:rPr>
                <w:rFonts w:ascii="Arial" w:hAnsi="Arial" w:cs="Arial"/>
              </w:rPr>
              <w:t>fo</w:t>
            </w:r>
            <w:r w:rsidR="008B602C">
              <w:rPr>
                <w:rFonts w:ascii="Arial" w:hAnsi="Arial" w:cs="Arial"/>
              </w:rPr>
              <w:t>r a total</w:t>
            </w:r>
            <w:r w:rsidR="00344B35">
              <w:rPr>
                <w:rFonts w:ascii="Arial" w:hAnsi="Arial" w:cs="Arial"/>
              </w:rPr>
              <w:t xml:space="preserve"> of £700,000</w:t>
            </w:r>
            <w:r w:rsidR="009F08A4">
              <w:rPr>
                <w:rFonts w:ascii="Arial" w:hAnsi="Arial" w:cs="Arial"/>
              </w:rPr>
              <w:t>.</w:t>
            </w:r>
          </w:p>
          <w:p w:rsidR="009F08A4" w:rsidRPr="00A96C08" w:rsidRDefault="009F08A4" w:rsidP="00721109">
            <w:pPr>
              <w:rPr>
                <w:rFonts w:ascii="Arial" w:hAnsi="Arial" w:cs="Arial"/>
              </w:rPr>
            </w:pPr>
          </w:p>
        </w:tc>
      </w:tr>
      <w:tr w:rsidR="00373F5D" w:rsidTr="00603D61">
        <w:tc>
          <w:tcPr>
            <w:tcW w:w="0" w:type="auto"/>
          </w:tcPr>
          <w:p w:rsidR="00373F5D" w:rsidRPr="00373F5D" w:rsidRDefault="00373F5D" w:rsidP="00C6455F">
            <w:pPr>
              <w:spacing w:before="120" w:after="120"/>
              <w:rPr>
                <w:rFonts w:ascii="Arial" w:hAnsi="Arial" w:cs="Arial"/>
              </w:rPr>
            </w:pPr>
            <w:r>
              <w:rPr>
                <w:rFonts w:ascii="Arial" w:hAnsi="Arial" w:cs="Arial"/>
                <w:b/>
              </w:rPr>
              <w:t xml:space="preserve">Purpose: </w:t>
            </w:r>
          </w:p>
        </w:tc>
        <w:tc>
          <w:tcPr>
            <w:tcW w:w="0" w:type="auto"/>
          </w:tcPr>
          <w:p w:rsidR="00373F5D" w:rsidRDefault="00FE0FF8" w:rsidP="00721109">
            <w:pPr>
              <w:rPr>
                <w:rFonts w:ascii="Arial" w:hAnsi="Arial" w:cs="Arial"/>
              </w:rPr>
            </w:pPr>
            <w:r>
              <w:rPr>
                <w:rFonts w:ascii="Arial" w:hAnsi="Arial" w:cs="Arial"/>
              </w:rPr>
              <w:t>T</w:t>
            </w:r>
            <w:r w:rsidR="009F08A4">
              <w:rPr>
                <w:rFonts w:ascii="Arial" w:hAnsi="Arial" w:cs="Arial"/>
              </w:rPr>
              <w:t>he decision support</w:t>
            </w:r>
            <w:r w:rsidR="00CF5019">
              <w:rPr>
                <w:rFonts w:ascii="Arial" w:hAnsi="Arial" w:cs="Arial"/>
              </w:rPr>
              <w:t>s</w:t>
            </w:r>
            <w:bookmarkStart w:id="0" w:name="_GoBack"/>
            <w:bookmarkEnd w:id="0"/>
            <w:r w:rsidR="009F08A4">
              <w:rPr>
                <w:rFonts w:ascii="Arial" w:hAnsi="Arial" w:cs="Arial"/>
              </w:rPr>
              <w:t xml:space="preserve"> the delivery of</w:t>
            </w:r>
            <w:r w:rsidR="009704A9">
              <w:rPr>
                <w:rFonts w:ascii="Arial" w:hAnsi="Arial" w:cs="Arial"/>
              </w:rPr>
              <w:t xml:space="preserve"> the Council</w:t>
            </w:r>
            <w:r w:rsidR="009F08A4">
              <w:rPr>
                <w:rFonts w:ascii="Arial" w:hAnsi="Arial" w:cs="Arial"/>
              </w:rPr>
              <w:t>’</w:t>
            </w:r>
            <w:r w:rsidR="009704A9">
              <w:rPr>
                <w:rFonts w:ascii="Arial" w:hAnsi="Arial" w:cs="Arial"/>
              </w:rPr>
              <w:t xml:space="preserve">s </w:t>
            </w:r>
            <w:r w:rsidR="00661D4C">
              <w:rPr>
                <w:rFonts w:ascii="Arial" w:hAnsi="Arial" w:cs="Arial"/>
              </w:rPr>
              <w:t>overall Affordable Housing provision</w:t>
            </w:r>
            <w:r w:rsidR="009F08A4">
              <w:rPr>
                <w:rFonts w:ascii="Arial" w:hAnsi="Arial" w:cs="Arial"/>
              </w:rPr>
              <w:t>.</w:t>
            </w:r>
          </w:p>
          <w:p w:rsidR="009F08A4" w:rsidRPr="00A96C08" w:rsidRDefault="009F08A4" w:rsidP="00721109">
            <w:pPr>
              <w:rPr>
                <w:rFonts w:ascii="Arial" w:hAnsi="Arial" w:cs="Arial"/>
              </w:rPr>
            </w:pPr>
          </w:p>
        </w:tc>
      </w:tr>
      <w:tr w:rsidR="00DC2E8D" w:rsidTr="00603D61">
        <w:tc>
          <w:tcPr>
            <w:tcW w:w="0" w:type="auto"/>
          </w:tcPr>
          <w:p w:rsidR="00DC2E8D" w:rsidRPr="008E4629" w:rsidRDefault="008E4629" w:rsidP="00C6455F">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0" w:type="auto"/>
          </w:tcPr>
          <w:p w:rsidR="00A730B0" w:rsidRDefault="00A730B0" w:rsidP="00A730B0">
            <w:pPr>
              <w:rPr>
                <w:rFonts w:ascii="Arial" w:hAnsi="Arial" w:cs="Arial"/>
                <w:color w:val="000000" w:themeColor="text1"/>
              </w:rPr>
            </w:pPr>
            <w:r>
              <w:rPr>
                <w:rFonts w:ascii="Arial" w:hAnsi="Arial" w:cs="Arial"/>
                <w:color w:val="000000" w:themeColor="text1"/>
              </w:rPr>
              <w:t>Cabinet</w:t>
            </w:r>
            <w:r w:rsidR="009F08A4">
              <w:rPr>
                <w:rFonts w:ascii="Arial" w:hAnsi="Arial" w:cs="Arial"/>
                <w:color w:val="000000" w:themeColor="text1"/>
              </w:rPr>
              <w:t>,</w:t>
            </w:r>
            <w:r>
              <w:rPr>
                <w:rFonts w:ascii="Arial" w:hAnsi="Arial" w:cs="Arial"/>
                <w:color w:val="000000" w:themeColor="text1"/>
              </w:rPr>
              <w:t xml:space="preserve"> on 13</w:t>
            </w:r>
            <w:r w:rsidRPr="00F32D15">
              <w:rPr>
                <w:rFonts w:ascii="Arial" w:hAnsi="Arial" w:cs="Arial"/>
                <w:color w:val="000000" w:themeColor="text1"/>
                <w:vertAlign w:val="superscript"/>
              </w:rPr>
              <w:t>th</w:t>
            </w:r>
            <w:r>
              <w:rPr>
                <w:rFonts w:ascii="Arial" w:hAnsi="Arial" w:cs="Arial"/>
                <w:color w:val="000000" w:themeColor="text1"/>
              </w:rPr>
              <w:t xml:space="preserve"> April 2022</w:t>
            </w:r>
            <w:r w:rsidR="009F08A4">
              <w:rPr>
                <w:rFonts w:ascii="Arial" w:hAnsi="Arial" w:cs="Arial"/>
                <w:color w:val="000000" w:themeColor="text1"/>
              </w:rPr>
              <w:t xml:space="preserve"> (‘</w:t>
            </w:r>
            <w:hyperlink r:id="rId9" w:history="1">
              <w:r w:rsidR="009F08A4" w:rsidRPr="009F08A4">
                <w:rPr>
                  <w:rStyle w:val="Hyperlink"/>
                  <w:rFonts w:ascii="Arial" w:hAnsi="Arial" w:cs="Arial"/>
                </w:rPr>
                <w:t>Affordable Housing Delivery Programme</w:t>
              </w:r>
            </w:hyperlink>
            <w:r w:rsidR="009F08A4">
              <w:rPr>
                <w:rFonts w:ascii="Arial" w:hAnsi="Arial" w:cs="Arial"/>
                <w:color w:val="000000" w:themeColor="text1"/>
              </w:rPr>
              <w:t>’)</w:t>
            </w:r>
            <w:r>
              <w:rPr>
                <w:rFonts w:ascii="Arial" w:hAnsi="Arial" w:cs="Arial"/>
                <w:color w:val="000000" w:themeColor="text1"/>
              </w:rPr>
              <w:t xml:space="preserve"> approved the OCC buyback of the remaining 5 properties in the OCHL Exten</w:t>
            </w:r>
            <w:r w:rsidR="00B92C59">
              <w:rPr>
                <w:rFonts w:ascii="Arial" w:hAnsi="Arial" w:cs="Arial"/>
                <w:color w:val="000000" w:themeColor="text1"/>
              </w:rPr>
              <w:t>sions Programme at market value -</w:t>
            </w:r>
            <w:r>
              <w:rPr>
                <w:rFonts w:ascii="Arial" w:hAnsi="Arial" w:cs="Arial"/>
                <w:color w:val="000000" w:themeColor="text1"/>
              </w:rPr>
              <w:t xml:space="preserve"> even where this f</w:t>
            </w:r>
            <w:r w:rsidR="00B92C59">
              <w:rPr>
                <w:rFonts w:ascii="Arial" w:hAnsi="Arial" w:cs="Arial"/>
                <w:color w:val="000000" w:themeColor="text1"/>
              </w:rPr>
              <w:t>a</w:t>
            </w:r>
            <w:r>
              <w:rPr>
                <w:rFonts w:ascii="Arial" w:hAnsi="Arial" w:cs="Arial"/>
                <w:color w:val="000000" w:themeColor="text1"/>
              </w:rPr>
              <w:t xml:space="preserve">lls </w:t>
            </w:r>
            <w:r w:rsidRPr="004465D4">
              <w:rPr>
                <w:rFonts w:ascii="Arial" w:hAnsi="Arial" w:cs="Arial"/>
                <w:color w:val="000000" w:themeColor="text1"/>
              </w:rPr>
              <w:t xml:space="preserve">outside of the usual HRA financial parameters </w:t>
            </w:r>
            <w:r w:rsidR="00B92C59">
              <w:rPr>
                <w:rFonts w:ascii="Arial" w:hAnsi="Arial" w:cs="Arial"/>
                <w:color w:val="000000" w:themeColor="text1"/>
              </w:rPr>
              <w:t xml:space="preserve">- </w:t>
            </w:r>
            <w:r w:rsidRPr="004465D4">
              <w:rPr>
                <w:rFonts w:ascii="Arial" w:hAnsi="Arial" w:cs="Arial"/>
                <w:color w:val="000000" w:themeColor="text1"/>
              </w:rPr>
              <w:t xml:space="preserve">as it relates to a very small number of homes and the OCHL buy-backs over the whole </w:t>
            </w:r>
            <w:r>
              <w:rPr>
                <w:rFonts w:ascii="Arial" w:hAnsi="Arial" w:cs="Arial"/>
                <w:color w:val="000000" w:themeColor="text1"/>
              </w:rPr>
              <w:t xml:space="preserve">affordable homes </w:t>
            </w:r>
            <w:r w:rsidR="00B92C59">
              <w:rPr>
                <w:rFonts w:ascii="Arial" w:hAnsi="Arial" w:cs="Arial"/>
                <w:color w:val="000000" w:themeColor="text1"/>
              </w:rPr>
              <w:t>programme</w:t>
            </w:r>
            <w:r w:rsidRPr="004465D4">
              <w:rPr>
                <w:rFonts w:ascii="Arial" w:hAnsi="Arial" w:cs="Arial"/>
                <w:color w:val="000000" w:themeColor="text1"/>
              </w:rPr>
              <w:t xml:space="preserve"> continue to fall inside the </w:t>
            </w:r>
            <w:r>
              <w:rPr>
                <w:rFonts w:ascii="Arial" w:hAnsi="Arial" w:cs="Arial"/>
                <w:color w:val="000000" w:themeColor="text1"/>
              </w:rPr>
              <w:t xml:space="preserve">HRA </w:t>
            </w:r>
            <w:r w:rsidRPr="004465D4">
              <w:rPr>
                <w:rFonts w:ascii="Arial" w:hAnsi="Arial" w:cs="Arial"/>
                <w:color w:val="000000" w:themeColor="text1"/>
              </w:rPr>
              <w:t>financial parameters overall.</w:t>
            </w:r>
          </w:p>
          <w:p w:rsidR="00CB5E4F" w:rsidRPr="00A96C08" w:rsidRDefault="00CB5E4F" w:rsidP="00B92C59">
            <w:pPr>
              <w:rPr>
                <w:rFonts w:ascii="Arial" w:hAnsi="Arial" w:cs="Arial"/>
              </w:rPr>
            </w:pPr>
          </w:p>
        </w:tc>
      </w:tr>
      <w:tr w:rsidR="00B87695" w:rsidTr="00603D61">
        <w:tc>
          <w:tcPr>
            <w:tcW w:w="0" w:type="auto"/>
          </w:tcPr>
          <w:p w:rsidR="00B87695" w:rsidRPr="00B87695" w:rsidRDefault="00B87695" w:rsidP="00C6455F">
            <w:pPr>
              <w:spacing w:before="120" w:after="120"/>
              <w:rPr>
                <w:rFonts w:ascii="Arial" w:hAnsi="Arial" w:cs="Arial"/>
              </w:rPr>
            </w:pPr>
            <w:r w:rsidRPr="00B87695">
              <w:rPr>
                <w:rFonts w:ascii="Arial" w:hAnsi="Arial" w:cs="Arial"/>
                <w:b/>
              </w:rPr>
              <w:t>Decision made by:</w:t>
            </w:r>
          </w:p>
        </w:tc>
        <w:tc>
          <w:tcPr>
            <w:tcW w:w="0" w:type="auto"/>
          </w:tcPr>
          <w:p w:rsidR="00C04873" w:rsidRDefault="001B5F2E" w:rsidP="002664B5">
            <w:pPr>
              <w:rPr>
                <w:rFonts w:ascii="Arial" w:hAnsi="Arial" w:cs="Arial"/>
              </w:rPr>
            </w:pPr>
            <w:r>
              <w:rPr>
                <w:rFonts w:ascii="Arial" w:hAnsi="Arial" w:cs="Arial"/>
              </w:rPr>
              <w:t>C</w:t>
            </w:r>
            <w:r w:rsidR="00A64D4C">
              <w:rPr>
                <w:rFonts w:ascii="Arial" w:hAnsi="Arial" w:cs="Arial"/>
              </w:rPr>
              <w:t>aroline Green, Chief Executive (i</w:t>
            </w:r>
            <w:r>
              <w:rPr>
                <w:rFonts w:ascii="Arial" w:hAnsi="Arial" w:cs="Arial"/>
              </w:rPr>
              <w:t xml:space="preserve">n the absence of </w:t>
            </w:r>
            <w:r w:rsidR="002664B5" w:rsidRPr="002664B5">
              <w:rPr>
                <w:rFonts w:ascii="Arial" w:hAnsi="Arial" w:cs="Arial"/>
              </w:rPr>
              <w:t>Executive Dire</w:t>
            </w:r>
            <w:r w:rsidR="00A64D4C">
              <w:rPr>
                <w:rFonts w:ascii="Arial" w:hAnsi="Arial" w:cs="Arial"/>
              </w:rPr>
              <w:t>ctor for Communities and People)</w:t>
            </w:r>
          </w:p>
          <w:p w:rsidR="00C04873" w:rsidRPr="00A96C08" w:rsidRDefault="00C04873" w:rsidP="008A22C6">
            <w:pPr>
              <w:rPr>
                <w:rFonts w:ascii="Arial" w:hAnsi="Arial" w:cs="Arial"/>
              </w:rPr>
            </w:pPr>
          </w:p>
        </w:tc>
      </w:tr>
      <w:tr w:rsidR="006F6326" w:rsidTr="00603D61">
        <w:tc>
          <w:tcPr>
            <w:tcW w:w="0" w:type="auto"/>
          </w:tcPr>
          <w:p w:rsidR="006F6326" w:rsidRDefault="006F6326" w:rsidP="00C6455F">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0" w:type="auto"/>
          </w:tcPr>
          <w:p w:rsidR="00263039" w:rsidRDefault="00C04873" w:rsidP="00DD1A34">
            <w:pPr>
              <w:rPr>
                <w:rFonts w:ascii="Arial" w:hAnsi="Arial" w:cs="Arial"/>
              </w:rPr>
            </w:pPr>
            <w:r w:rsidRPr="00F26107">
              <w:rPr>
                <w:rFonts w:ascii="Arial" w:hAnsi="Arial" w:cs="Arial"/>
              </w:rPr>
              <w:t>Not to transfer the properties would represent a missed opportunity to deliver affordable housing</w:t>
            </w:r>
            <w:r>
              <w:rPr>
                <w:rFonts w:ascii="Arial" w:hAnsi="Arial" w:cs="Arial"/>
              </w:rPr>
              <w:t xml:space="preserve"> and support the delivery of the OCHL business plan</w:t>
            </w:r>
            <w:r w:rsidRPr="00F26107">
              <w:rPr>
                <w:rFonts w:ascii="Arial" w:hAnsi="Arial" w:cs="Arial"/>
              </w:rPr>
              <w:t>.</w:t>
            </w:r>
          </w:p>
          <w:p w:rsidR="00A64D4C" w:rsidRPr="00A96C08" w:rsidRDefault="00A64D4C" w:rsidP="00DD1A34">
            <w:pPr>
              <w:rPr>
                <w:rFonts w:ascii="Arial" w:hAnsi="Arial" w:cs="Arial"/>
              </w:rPr>
            </w:pPr>
          </w:p>
        </w:tc>
      </w:tr>
      <w:tr w:rsidR="006F6326" w:rsidTr="00603D61">
        <w:trPr>
          <w:trHeight w:val="1018"/>
        </w:trPr>
        <w:tc>
          <w:tcPr>
            <w:tcW w:w="0" w:type="auto"/>
          </w:tcPr>
          <w:p w:rsidR="00C678ED" w:rsidRPr="00C678ED" w:rsidRDefault="006F6326" w:rsidP="00C6455F">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0" w:type="auto"/>
          </w:tcPr>
          <w:p w:rsidR="006F6326" w:rsidRPr="00A96C08" w:rsidRDefault="00C6455F" w:rsidP="002664B5">
            <w:pPr>
              <w:rPr>
                <w:rFonts w:ascii="Arial" w:hAnsi="Arial" w:cs="Arial"/>
              </w:rPr>
            </w:pPr>
            <w:r>
              <w:rPr>
                <w:rFonts w:ascii="Arial" w:hAnsi="Arial" w:cs="Arial"/>
              </w:rPr>
              <w:t>None.</w:t>
            </w:r>
          </w:p>
        </w:tc>
      </w:tr>
      <w:tr w:rsidR="006F6326" w:rsidTr="00603D61">
        <w:tc>
          <w:tcPr>
            <w:tcW w:w="0" w:type="auto"/>
          </w:tcPr>
          <w:p w:rsidR="003505E0" w:rsidRDefault="003505E0" w:rsidP="00C6455F">
            <w:pPr>
              <w:spacing w:before="120" w:after="120"/>
              <w:rPr>
                <w:rFonts w:ascii="Arial" w:hAnsi="Arial" w:cs="Arial"/>
                <w:b/>
              </w:rPr>
            </w:pPr>
            <w:r>
              <w:rPr>
                <w:rFonts w:ascii="Arial" w:hAnsi="Arial" w:cs="Arial"/>
                <w:b/>
              </w:rPr>
              <w:t>Key or Not Key</w:t>
            </w:r>
            <w:r w:rsidR="00AC5899">
              <w:rPr>
                <w:rFonts w:ascii="Arial" w:hAnsi="Arial" w:cs="Arial"/>
                <w:b/>
              </w:rPr>
              <w:t>:</w:t>
            </w:r>
          </w:p>
        </w:tc>
        <w:tc>
          <w:tcPr>
            <w:tcW w:w="0" w:type="auto"/>
          </w:tcPr>
          <w:p w:rsidR="006F6326" w:rsidRPr="00A96C08" w:rsidRDefault="004E546A" w:rsidP="008A22C6">
            <w:pPr>
              <w:rPr>
                <w:rFonts w:ascii="Arial" w:hAnsi="Arial" w:cs="Arial"/>
              </w:rPr>
            </w:pPr>
            <w:r>
              <w:rPr>
                <w:rFonts w:ascii="Arial" w:hAnsi="Arial" w:cs="Arial"/>
              </w:rPr>
              <w:t>Key</w:t>
            </w:r>
          </w:p>
        </w:tc>
      </w:tr>
      <w:tr w:rsidR="006F6326" w:rsidTr="00603D61">
        <w:tc>
          <w:tcPr>
            <w:tcW w:w="0" w:type="auto"/>
          </w:tcPr>
          <w:p w:rsidR="006F6326" w:rsidRPr="008E4629" w:rsidRDefault="006F6326" w:rsidP="00C6455F">
            <w:pPr>
              <w:spacing w:before="120" w:after="120"/>
              <w:rPr>
                <w:rFonts w:ascii="Arial" w:hAnsi="Arial" w:cs="Arial"/>
              </w:rPr>
            </w:pPr>
            <w:r w:rsidRPr="006F6326">
              <w:rPr>
                <w:rFonts w:ascii="Arial" w:hAnsi="Arial" w:cs="Arial"/>
                <w:b/>
              </w:rPr>
              <w:lastRenderedPageBreak/>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0" w:type="auto"/>
          </w:tcPr>
          <w:p w:rsidR="006F6326" w:rsidRPr="00A96C08" w:rsidRDefault="00C04873" w:rsidP="008A22C6">
            <w:pPr>
              <w:rPr>
                <w:rFonts w:ascii="Arial" w:hAnsi="Arial" w:cs="Arial"/>
              </w:rPr>
            </w:pPr>
            <w:r>
              <w:rPr>
                <w:rFonts w:ascii="Arial" w:hAnsi="Arial" w:cs="Arial"/>
              </w:rPr>
              <w:t>None</w:t>
            </w:r>
          </w:p>
        </w:tc>
      </w:tr>
      <w:tr w:rsidR="006F6326" w:rsidTr="00603D61">
        <w:tc>
          <w:tcPr>
            <w:tcW w:w="0" w:type="auto"/>
          </w:tcPr>
          <w:p w:rsidR="006F6326" w:rsidRPr="006F6326" w:rsidRDefault="006F6326" w:rsidP="00C6455F">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0" w:type="auto"/>
          </w:tcPr>
          <w:p w:rsidR="006F6326" w:rsidRPr="00A96C08" w:rsidRDefault="00C04873" w:rsidP="008A22C6">
            <w:pPr>
              <w:rPr>
                <w:rFonts w:ascii="Arial" w:hAnsi="Arial" w:cs="Arial"/>
              </w:rPr>
            </w:pPr>
            <w:r>
              <w:rPr>
                <w:rFonts w:ascii="Arial" w:hAnsi="Arial" w:cs="Arial"/>
              </w:rPr>
              <w:t>None</w:t>
            </w:r>
          </w:p>
        </w:tc>
      </w:tr>
      <w:tr w:rsidR="00B87695" w:rsidTr="00C6455F">
        <w:tc>
          <w:tcPr>
            <w:tcW w:w="0" w:type="auto"/>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0" w:type="auto"/>
          </w:tcPr>
          <w:p w:rsidR="00C6455F" w:rsidRDefault="00C6455F" w:rsidP="00603D61">
            <w:pPr>
              <w:rPr>
                <w:rFonts w:ascii="Arial" w:hAnsi="Arial" w:cs="Arial"/>
              </w:rPr>
            </w:pPr>
          </w:p>
          <w:p w:rsidR="004A049B" w:rsidRDefault="00FD2482" w:rsidP="00603D61">
            <w:pPr>
              <w:rPr>
                <w:rFonts w:ascii="Arial" w:hAnsi="Arial" w:cs="Arial"/>
              </w:rPr>
            </w:pPr>
            <w:r>
              <w:rPr>
                <w:rFonts w:ascii="Arial" w:hAnsi="Arial" w:cs="Arial"/>
              </w:rPr>
              <w:t>Allison Dalton</w:t>
            </w:r>
          </w:p>
          <w:p w:rsidR="00FD2482" w:rsidRDefault="00C6455F" w:rsidP="00603D61">
            <w:pPr>
              <w:rPr>
                <w:rFonts w:ascii="Arial" w:hAnsi="Arial" w:cs="Arial"/>
              </w:rPr>
            </w:pPr>
            <w:r>
              <w:rPr>
                <w:rFonts w:ascii="Arial" w:hAnsi="Arial" w:cs="Arial"/>
              </w:rPr>
              <w:t>Housing Developmen</w:t>
            </w:r>
            <w:r w:rsidR="00FD2482">
              <w:rPr>
                <w:rFonts w:ascii="Arial" w:hAnsi="Arial" w:cs="Arial"/>
              </w:rPr>
              <w:t>t &amp; Regen</w:t>
            </w:r>
            <w:r>
              <w:rPr>
                <w:rFonts w:ascii="Arial" w:hAnsi="Arial" w:cs="Arial"/>
              </w:rPr>
              <w:t>eration</w:t>
            </w:r>
            <w:r w:rsidR="00FD2482">
              <w:rPr>
                <w:rFonts w:ascii="Arial" w:hAnsi="Arial" w:cs="Arial"/>
              </w:rPr>
              <w:t xml:space="preserve"> Officer</w:t>
            </w:r>
          </w:p>
          <w:p w:rsidR="00E63FC1" w:rsidRPr="00A96C08" w:rsidRDefault="001B5F2E" w:rsidP="00603D61">
            <w:pPr>
              <w:rPr>
                <w:rFonts w:ascii="Arial" w:hAnsi="Arial" w:cs="Arial"/>
              </w:rPr>
            </w:pPr>
            <w:r>
              <w:rPr>
                <w:rFonts w:ascii="Arial" w:hAnsi="Arial" w:cs="Arial"/>
              </w:rPr>
              <w:t>6 June 2023</w:t>
            </w:r>
          </w:p>
        </w:tc>
      </w:tr>
    </w:tbl>
    <w:p w:rsidR="00C6455F" w:rsidRDefault="00C6455F" w:rsidP="002611EB">
      <w:pPr>
        <w:rPr>
          <w:rFonts w:ascii="Arial" w:hAnsi="Arial" w:cs="Arial"/>
          <w:b/>
        </w:rPr>
      </w:pPr>
    </w:p>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C6455F" w:rsidP="00BF240D">
            <w:pPr>
              <w:spacing w:before="120" w:after="120"/>
              <w:rPr>
                <w:rFonts w:ascii="Arial" w:hAnsi="Arial" w:cs="Arial"/>
              </w:rPr>
            </w:pPr>
            <w:r>
              <w:rPr>
                <w:rFonts w:ascii="Arial" w:hAnsi="Arial" w:cs="Arial"/>
                <w:b/>
              </w:rPr>
              <w:t>Decision maker</w:t>
            </w:r>
          </w:p>
        </w:tc>
        <w:tc>
          <w:tcPr>
            <w:tcW w:w="4111" w:type="dxa"/>
            <w:vAlign w:val="center"/>
          </w:tcPr>
          <w:p w:rsidR="00FD2482" w:rsidRDefault="001B5F2E" w:rsidP="002664B5">
            <w:pPr>
              <w:rPr>
                <w:rFonts w:ascii="Arial" w:hAnsi="Arial" w:cs="Arial"/>
              </w:rPr>
            </w:pPr>
            <w:r>
              <w:rPr>
                <w:rFonts w:ascii="Arial" w:hAnsi="Arial" w:cs="Arial"/>
              </w:rPr>
              <w:t xml:space="preserve">Caroline Green, Chief Executive </w:t>
            </w:r>
            <w:r w:rsidR="00C6455F">
              <w:rPr>
                <w:rFonts w:ascii="Arial" w:hAnsi="Arial" w:cs="Arial"/>
              </w:rPr>
              <w:t>(</w:t>
            </w:r>
            <w:r>
              <w:rPr>
                <w:rFonts w:ascii="Arial" w:hAnsi="Arial" w:cs="Arial"/>
              </w:rPr>
              <w:t xml:space="preserve">in the absence of </w:t>
            </w:r>
            <w:r w:rsidR="002664B5" w:rsidRPr="002664B5">
              <w:rPr>
                <w:rFonts w:ascii="Arial" w:hAnsi="Arial" w:cs="Arial"/>
              </w:rPr>
              <w:t>Executive Director for Communities and People</w:t>
            </w:r>
            <w:r w:rsidR="00C6455F">
              <w:rPr>
                <w:rFonts w:ascii="Arial" w:hAnsi="Arial" w:cs="Arial"/>
              </w:rPr>
              <w:t>)</w:t>
            </w:r>
          </w:p>
          <w:p w:rsidR="00C6455F" w:rsidRDefault="00C6455F" w:rsidP="002664B5">
            <w:pPr>
              <w:rPr>
                <w:rFonts w:ascii="Arial" w:hAnsi="Arial" w:cs="Arial"/>
              </w:rPr>
            </w:pPr>
          </w:p>
          <w:p w:rsidR="00C6455F" w:rsidRPr="00A96C08" w:rsidRDefault="00C6455F" w:rsidP="002664B5">
            <w:pPr>
              <w:rPr>
                <w:rFonts w:ascii="Arial" w:hAnsi="Arial" w:cs="Arial"/>
              </w:rPr>
            </w:pPr>
            <w:r w:rsidRPr="00D20C79">
              <w:rPr>
                <w:rFonts w:ascii="Arial" w:hAnsi="Arial" w:cs="Arial"/>
                <w:b/>
                <w:noProof/>
                <w:sz w:val="28"/>
                <w:szCs w:val="28"/>
              </w:rPr>
              <w:drawing>
                <wp:inline distT="0" distB="0" distL="0" distR="0" wp14:anchorId="2ADD7136" wp14:editId="0C4CDC4B">
                  <wp:extent cx="2043679" cy="609600"/>
                  <wp:effectExtent l="0" t="0" r="0" b="0"/>
                  <wp:docPr id="7" name="Picture 7" descr="C:\Users\jmitchell\AppData\Local\Microsoft\Windows\INetCache\Content.Outlook\JEVXX3BB\Signature Caroline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tchell\AppData\Local\Microsoft\Windows\INetCache\Content.Outlook\JEVXX3BB\Signature Caroline Capture.PNG"/>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2074559" cy="618811"/>
                          </a:xfrm>
                          <a:prstGeom prst="rect">
                            <a:avLst/>
                          </a:prstGeom>
                          <a:noFill/>
                          <a:ln>
                            <a:noFill/>
                          </a:ln>
                        </pic:spPr>
                      </pic:pic>
                    </a:graphicData>
                  </a:graphic>
                </wp:inline>
              </w:drawing>
            </w:r>
          </w:p>
        </w:tc>
        <w:tc>
          <w:tcPr>
            <w:tcW w:w="1984" w:type="dxa"/>
            <w:vAlign w:val="center"/>
          </w:tcPr>
          <w:p w:rsidR="00DD4885" w:rsidRPr="00A96C08" w:rsidRDefault="004C1D59" w:rsidP="00DD4885">
            <w:pPr>
              <w:rPr>
                <w:rFonts w:ascii="Arial" w:hAnsi="Arial" w:cs="Arial"/>
              </w:rPr>
            </w:pPr>
            <w:r>
              <w:rPr>
                <w:rFonts w:ascii="Arial" w:hAnsi="Arial" w:cs="Arial"/>
              </w:rPr>
              <w:t>07/06/2023</w:t>
            </w:r>
          </w:p>
        </w:tc>
      </w:tr>
    </w:tbl>
    <w:p w:rsidR="00F45FA7" w:rsidRDefault="00F45FA7"/>
    <w:p w:rsidR="00F45FA7" w:rsidRPr="00C6455F" w:rsidRDefault="00C6455F">
      <w:pPr>
        <w:rPr>
          <w:rFonts w:ascii="Arial" w:hAnsi="Arial" w:cs="Arial"/>
          <w:b/>
        </w:rPr>
      </w:pPr>
      <w:r w:rsidRPr="00C6455F">
        <w:rPr>
          <w:rFonts w:ascii="Arial" w:hAnsi="Arial" w:cs="Arial"/>
          <w:b/>
        </w:rPr>
        <w:t>Consultee checklist</w:t>
      </w:r>
    </w:p>
    <w:p w:rsidR="00C6455F" w:rsidRDefault="00C6455F"/>
    <w:tbl>
      <w:tblPr>
        <w:tblStyle w:val="TableGrid"/>
        <w:tblW w:w="9923" w:type="dxa"/>
        <w:tblInd w:w="-289" w:type="dxa"/>
        <w:tblLook w:val="04A0" w:firstRow="1" w:lastRow="0" w:firstColumn="1" w:lastColumn="0" w:noHBand="0" w:noVBand="1"/>
      </w:tblPr>
      <w:tblGrid>
        <w:gridCol w:w="3828"/>
        <w:gridCol w:w="4111"/>
        <w:gridCol w:w="1984"/>
      </w:tblGrid>
      <w:tr w:rsidR="00F45FA7" w:rsidRPr="00A96C08" w:rsidTr="00F45FA7">
        <w:trPr>
          <w:trHeight w:val="510"/>
        </w:trPr>
        <w:tc>
          <w:tcPr>
            <w:tcW w:w="3828" w:type="dxa"/>
            <w:vAlign w:val="center"/>
          </w:tcPr>
          <w:p w:rsidR="00F45FA7" w:rsidRPr="005C60B2" w:rsidRDefault="00F45FA7" w:rsidP="00F45FA7">
            <w:pPr>
              <w:spacing w:before="120" w:after="120"/>
              <w:rPr>
                <w:rFonts w:ascii="Arial" w:hAnsi="Arial" w:cs="Arial"/>
                <w:b/>
                <w:i/>
              </w:rPr>
            </w:pPr>
            <w:r w:rsidRPr="005C60B2">
              <w:rPr>
                <w:rFonts w:ascii="Arial" w:hAnsi="Arial" w:cs="Arial"/>
                <w:b/>
                <w:i/>
              </w:rPr>
              <w:t>Consultees</w:t>
            </w:r>
          </w:p>
        </w:tc>
        <w:tc>
          <w:tcPr>
            <w:tcW w:w="4111" w:type="dxa"/>
            <w:vAlign w:val="center"/>
          </w:tcPr>
          <w:p w:rsidR="00F45FA7" w:rsidRPr="005C60B2" w:rsidRDefault="00F45FA7" w:rsidP="00F45FA7">
            <w:pPr>
              <w:rPr>
                <w:rFonts w:ascii="Arial" w:hAnsi="Arial" w:cs="Arial"/>
                <w:b/>
                <w:i/>
              </w:rPr>
            </w:pPr>
            <w:r w:rsidRPr="005C60B2">
              <w:rPr>
                <w:rFonts w:ascii="Arial" w:hAnsi="Arial" w:cs="Arial"/>
                <w:b/>
                <w:i/>
              </w:rPr>
              <w:t>Name and job title</w:t>
            </w:r>
          </w:p>
        </w:tc>
        <w:tc>
          <w:tcPr>
            <w:tcW w:w="1984" w:type="dxa"/>
            <w:vAlign w:val="center"/>
          </w:tcPr>
          <w:p w:rsidR="00F45FA7" w:rsidRPr="005C60B2" w:rsidRDefault="00F45FA7" w:rsidP="00F45FA7">
            <w:pPr>
              <w:rPr>
                <w:rFonts w:ascii="Arial" w:hAnsi="Arial" w:cs="Arial"/>
                <w:b/>
                <w:i/>
              </w:rPr>
            </w:pPr>
            <w:r w:rsidRPr="005C60B2">
              <w:rPr>
                <w:rFonts w:ascii="Arial" w:hAnsi="Arial" w:cs="Arial"/>
                <w:b/>
                <w:i/>
              </w:rPr>
              <w:t>Date</w:t>
            </w:r>
          </w:p>
        </w:tc>
      </w:tr>
      <w:tr w:rsidR="00DD4885" w:rsidRPr="00A96C08" w:rsidTr="00BF240D">
        <w:trPr>
          <w:trHeight w:val="1161"/>
        </w:trPr>
        <w:tc>
          <w:tcPr>
            <w:tcW w:w="3828" w:type="dxa"/>
          </w:tcPr>
          <w:p w:rsidR="00DD4885" w:rsidRPr="00BF240D" w:rsidRDefault="00DD4885" w:rsidP="00C6455F">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p>
        </w:tc>
        <w:tc>
          <w:tcPr>
            <w:tcW w:w="4111" w:type="dxa"/>
            <w:vAlign w:val="center"/>
          </w:tcPr>
          <w:p w:rsidR="00DD4885" w:rsidRDefault="00FD2482" w:rsidP="00DD4885">
            <w:pPr>
              <w:rPr>
                <w:rFonts w:ascii="Arial" w:hAnsi="Arial" w:cs="Arial"/>
              </w:rPr>
            </w:pPr>
            <w:r>
              <w:rPr>
                <w:rFonts w:ascii="Arial" w:hAnsi="Arial" w:cs="Arial"/>
              </w:rPr>
              <w:t>Nigel Kennedy</w:t>
            </w:r>
          </w:p>
          <w:p w:rsidR="00FD2482" w:rsidRDefault="00FD2482" w:rsidP="00DD4885">
            <w:pPr>
              <w:rPr>
                <w:rFonts w:ascii="Arial" w:hAnsi="Arial" w:cs="Arial"/>
              </w:rPr>
            </w:pPr>
            <w:r w:rsidRPr="00FD2482">
              <w:rPr>
                <w:rFonts w:ascii="Arial" w:hAnsi="Arial" w:cs="Arial"/>
              </w:rPr>
              <w:t>Head of Financial Services (Section 151 Officer)</w:t>
            </w:r>
          </w:p>
          <w:p w:rsidR="00C6455F" w:rsidRDefault="00C6455F" w:rsidP="00DD4885">
            <w:pPr>
              <w:rPr>
                <w:rFonts w:ascii="Arial" w:hAnsi="Arial" w:cs="Arial"/>
              </w:rPr>
            </w:pPr>
          </w:p>
          <w:p w:rsidR="00C6455F" w:rsidRPr="00A96C08" w:rsidRDefault="00C6455F" w:rsidP="00DD4885">
            <w:pPr>
              <w:rPr>
                <w:rFonts w:ascii="Arial" w:hAnsi="Arial" w:cs="Arial"/>
              </w:rPr>
            </w:pPr>
            <w:r w:rsidRPr="00EA6048">
              <w:rPr>
                <w:noProof/>
              </w:rPr>
              <w:drawing>
                <wp:inline distT="0" distB="0" distL="0" distR="0" wp14:anchorId="10F9BF80" wp14:editId="58345ED3">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rsidR="00DD4885" w:rsidRPr="00A96C08" w:rsidRDefault="00F45FA7" w:rsidP="00DD4885">
            <w:pPr>
              <w:rPr>
                <w:rFonts w:ascii="Arial" w:hAnsi="Arial" w:cs="Arial"/>
              </w:rPr>
            </w:pPr>
            <w:r>
              <w:rPr>
                <w:rFonts w:ascii="Arial" w:hAnsi="Arial" w:cs="Arial"/>
              </w:rPr>
              <w:t>07/06/2023</w:t>
            </w:r>
          </w:p>
        </w:tc>
      </w:tr>
      <w:tr w:rsidR="00DD4885" w:rsidRPr="00A96C08" w:rsidTr="00BF240D">
        <w:trPr>
          <w:trHeight w:val="834"/>
        </w:trPr>
        <w:tc>
          <w:tcPr>
            <w:tcW w:w="3828" w:type="dxa"/>
            <w:vAlign w:val="center"/>
          </w:tcPr>
          <w:p w:rsidR="00DD4885" w:rsidRPr="00405321" w:rsidRDefault="00DD4885" w:rsidP="00C6455F">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p>
        </w:tc>
        <w:tc>
          <w:tcPr>
            <w:tcW w:w="4111" w:type="dxa"/>
            <w:vAlign w:val="center"/>
          </w:tcPr>
          <w:p w:rsidR="00D95BE5" w:rsidRDefault="00D95BE5" w:rsidP="00DD4885">
            <w:pPr>
              <w:rPr>
                <w:rFonts w:ascii="Arial" w:hAnsi="Arial" w:cs="Arial"/>
              </w:rPr>
            </w:pPr>
          </w:p>
          <w:p w:rsidR="00DD4885" w:rsidRDefault="001B5F2E" w:rsidP="00DD4885">
            <w:pPr>
              <w:rPr>
                <w:rFonts w:ascii="Arial" w:hAnsi="Arial" w:cs="Arial"/>
              </w:rPr>
            </w:pPr>
            <w:r>
              <w:rPr>
                <w:rFonts w:ascii="Arial" w:hAnsi="Arial" w:cs="Arial"/>
              </w:rPr>
              <w:t>Rhian Dav</w:t>
            </w:r>
            <w:r w:rsidR="00603D61">
              <w:rPr>
                <w:rFonts w:ascii="Arial" w:hAnsi="Arial" w:cs="Arial"/>
              </w:rPr>
              <w:t>i</w:t>
            </w:r>
            <w:r>
              <w:rPr>
                <w:rFonts w:ascii="Arial" w:hAnsi="Arial" w:cs="Arial"/>
              </w:rPr>
              <w:t>es</w:t>
            </w:r>
          </w:p>
          <w:p w:rsidR="00C6455F" w:rsidRDefault="001B5F2E" w:rsidP="00DD4885">
            <w:pPr>
              <w:rPr>
                <w:rFonts w:ascii="Arial" w:hAnsi="Arial" w:cs="Arial"/>
              </w:rPr>
            </w:pPr>
            <w:r>
              <w:rPr>
                <w:rFonts w:ascii="Arial" w:hAnsi="Arial" w:cs="Arial"/>
              </w:rPr>
              <w:t xml:space="preserve">Interim </w:t>
            </w:r>
            <w:r w:rsidR="00FD2482" w:rsidRPr="00FD2482">
              <w:rPr>
                <w:rFonts w:ascii="Arial" w:hAnsi="Arial" w:cs="Arial"/>
              </w:rPr>
              <w:t>Head of Law &amp; Governance</w:t>
            </w:r>
          </w:p>
          <w:p w:rsidR="00C6455F" w:rsidRDefault="00C6455F" w:rsidP="00DD4885">
            <w:pPr>
              <w:rPr>
                <w:rFonts w:ascii="Arial" w:hAnsi="Arial" w:cs="Arial"/>
              </w:rPr>
            </w:pPr>
          </w:p>
          <w:p w:rsidR="00FD2482" w:rsidRPr="00A96C08" w:rsidRDefault="001B5F2E" w:rsidP="00DD4885">
            <w:pPr>
              <w:rPr>
                <w:rFonts w:ascii="Arial" w:hAnsi="Arial" w:cs="Arial"/>
              </w:rPr>
            </w:pPr>
            <w:r>
              <w:rPr>
                <w:rFonts w:ascii="Arial" w:hAnsi="Arial" w:cs="Arial"/>
              </w:rPr>
              <w:t xml:space="preserve"> </w:t>
            </w:r>
            <w:r w:rsidR="00C6455F" w:rsidRPr="00203779">
              <w:rPr>
                <w:noProof/>
              </w:rPr>
              <w:drawing>
                <wp:inline distT="0" distB="0" distL="0" distR="0" wp14:anchorId="68FBFA96" wp14:editId="25C932D9">
                  <wp:extent cx="1901909" cy="654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576" cy="657375"/>
                          </a:xfrm>
                          <a:prstGeom prst="rect">
                            <a:avLst/>
                          </a:prstGeom>
                          <a:noFill/>
                          <a:ln>
                            <a:noFill/>
                          </a:ln>
                        </pic:spPr>
                      </pic:pic>
                    </a:graphicData>
                  </a:graphic>
                </wp:inline>
              </w:drawing>
            </w:r>
          </w:p>
        </w:tc>
        <w:tc>
          <w:tcPr>
            <w:tcW w:w="1984" w:type="dxa"/>
            <w:vAlign w:val="center"/>
          </w:tcPr>
          <w:p w:rsidR="00DD4885" w:rsidRPr="00A96C08" w:rsidRDefault="00F45FA7" w:rsidP="00DD4885">
            <w:pPr>
              <w:rPr>
                <w:rFonts w:ascii="Arial" w:hAnsi="Arial" w:cs="Arial"/>
              </w:rPr>
            </w:pPr>
            <w:r>
              <w:rPr>
                <w:rFonts w:ascii="Arial" w:hAnsi="Arial" w:cs="Arial"/>
              </w:rPr>
              <w:t>07/06/2023</w:t>
            </w:r>
          </w:p>
        </w:tc>
      </w:tr>
      <w:tr w:rsidR="00DD4885" w:rsidRPr="00A96C08" w:rsidTr="00BF240D">
        <w:trPr>
          <w:trHeight w:val="562"/>
        </w:trPr>
        <w:tc>
          <w:tcPr>
            <w:tcW w:w="3828" w:type="dxa"/>
            <w:vAlign w:val="center"/>
          </w:tcPr>
          <w:p w:rsidR="00DD4885" w:rsidRPr="00405321" w:rsidRDefault="00DD4885" w:rsidP="00C6455F">
            <w:pPr>
              <w:spacing w:before="120" w:after="120"/>
              <w:rPr>
                <w:rFonts w:ascii="Arial" w:hAnsi="Arial" w:cs="Arial"/>
                <w:b/>
              </w:rPr>
            </w:pPr>
            <w:r w:rsidRPr="00405321">
              <w:rPr>
                <w:rFonts w:ascii="Arial" w:hAnsi="Arial" w:cs="Arial"/>
                <w:b/>
              </w:rPr>
              <w:t>Cabinet Member</w:t>
            </w:r>
          </w:p>
        </w:tc>
        <w:tc>
          <w:tcPr>
            <w:tcW w:w="4111" w:type="dxa"/>
            <w:vAlign w:val="center"/>
          </w:tcPr>
          <w:p w:rsidR="002664B5" w:rsidRPr="002664B5" w:rsidRDefault="002664B5" w:rsidP="002664B5">
            <w:pPr>
              <w:rPr>
                <w:rFonts w:ascii="Arial" w:hAnsi="Arial" w:cs="Arial"/>
              </w:rPr>
            </w:pPr>
            <w:r w:rsidRPr="002664B5">
              <w:rPr>
                <w:rFonts w:ascii="Arial" w:hAnsi="Arial" w:cs="Arial"/>
              </w:rPr>
              <w:t xml:space="preserve">Councillor </w:t>
            </w:r>
            <w:r w:rsidR="001B5F2E">
              <w:rPr>
                <w:rFonts w:ascii="Arial" w:hAnsi="Arial" w:cs="Arial"/>
              </w:rPr>
              <w:t>Linda Smith</w:t>
            </w:r>
          </w:p>
          <w:p w:rsidR="00DD4885" w:rsidRDefault="002664B5" w:rsidP="00C6455F">
            <w:pPr>
              <w:rPr>
                <w:rFonts w:ascii="Arial" w:hAnsi="Arial" w:cs="Arial"/>
              </w:rPr>
            </w:pPr>
            <w:r w:rsidRPr="002664B5">
              <w:rPr>
                <w:rFonts w:ascii="Arial" w:hAnsi="Arial" w:cs="Arial"/>
              </w:rPr>
              <w:t xml:space="preserve">Cabinet Member for </w:t>
            </w:r>
            <w:r w:rsidR="00C6455F">
              <w:rPr>
                <w:rFonts w:ascii="Arial" w:hAnsi="Arial" w:cs="Arial"/>
              </w:rPr>
              <w:t>Housing</w:t>
            </w:r>
          </w:p>
          <w:p w:rsidR="00C6455F" w:rsidRPr="00A96C08" w:rsidRDefault="00C6455F" w:rsidP="00C6455F">
            <w:pPr>
              <w:rPr>
                <w:rFonts w:ascii="Arial" w:hAnsi="Arial" w:cs="Arial"/>
              </w:rPr>
            </w:pPr>
          </w:p>
        </w:tc>
        <w:tc>
          <w:tcPr>
            <w:tcW w:w="1984" w:type="dxa"/>
            <w:vAlign w:val="center"/>
          </w:tcPr>
          <w:p w:rsidR="00DD4885" w:rsidRPr="00A96C08" w:rsidRDefault="00F45FA7" w:rsidP="00DD4885">
            <w:pPr>
              <w:rPr>
                <w:rFonts w:ascii="Arial" w:hAnsi="Arial" w:cs="Arial"/>
              </w:rPr>
            </w:pPr>
            <w:r>
              <w:rPr>
                <w:rFonts w:ascii="Arial" w:hAnsi="Arial" w:cs="Arial"/>
              </w:rPr>
              <w:t>0</w:t>
            </w:r>
            <w:r w:rsidR="00C6455F">
              <w:rPr>
                <w:rFonts w:ascii="Arial" w:hAnsi="Arial" w:cs="Arial"/>
              </w:rPr>
              <w:t>6</w:t>
            </w:r>
            <w:r>
              <w:rPr>
                <w:rFonts w:ascii="Arial" w:hAnsi="Arial" w:cs="Arial"/>
              </w:rPr>
              <w:t>/06/2023</w:t>
            </w:r>
          </w:p>
        </w:tc>
      </w:tr>
    </w:tbl>
    <w:p w:rsidR="008E4629" w:rsidRDefault="008E4629" w:rsidP="002611EB">
      <w:pPr>
        <w:rPr>
          <w:rFonts w:ascii="Arial" w:hAnsi="Arial" w:cs="Arial"/>
        </w:rPr>
      </w:pPr>
    </w:p>
    <w:p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A4E" w:rsidRDefault="009D4A4E" w:rsidP="00F11FD1">
      <w:r>
        <w:separator/>
      </w:r>
    </w:p>
  </w:endnote>
  <w:endnote w:type="continuationSeparator" w:id="0">
    <w:p w:rsidR="009D4A4E" w:rsidRDefault="009D4A4E"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A4E" w:rsidRDefault="009D4A4E" w:rsidP="00F11FD1">
      <w:r>
        <w:separator/>
      </w:r>
    </w:p>
  </w:footnote>
  <w:footnote w:type="continuationSeparator" w:id="0">
    <w:p w:rsidR="009D4A4E" w:rsidRDefault="009D4A4E"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1B5F2E"/>
    <w:rsid w:val="00212FE8"/>
    <w:rsid w:val="00231385"/>
    <w:rsid w:val="002611EB"/>
    <w:rsid w:val="00263039"/>
    <w:rsid w:val="002664B5"/>
    <w:rsid w:val="002956F5"/>
    <w:rsid w:val="002A07C9"/>
    <w:rsid w:val="002B1C05"/>
    <w:rsid w:val="002B53D4"/>
    <w:rsid w:val="002E61DD"/>
    <w:rsid w:val="00335A9B"/>
    <w:rsid w:val="00344B35"/>
    <w:rsid w:val="003505E0"/>
    <w:rsid w:val="003547CD"/>
    <w:rsid w:val="00373F5D"/>
    <w:rsid w:val="003B1236"/>
    <w:rsid w:val="004000D7"/>
    <w:rsid w:val="00405321"/>
    <w:rsid w:val="00424A92"/>
    <w:rsid w:val="004A049B"/>
    <w:rsid w:val="004B1944"/>
    <w:rsid w:val="004B359F"/>
    <w:rsid w:val="004B5BA2"/>
    <w:rsid w:val="004C1D59"/>
    <w:rsid w:val="004E546A"/>
    <w:rsid w:val="00504E43"/>
    <w:rsid w:val="00532DF2"/>
    <w:rsid w:val="005C6416"/>
    <w:rsid w:val="005D52C6"/>
    <w:rsid w:val="005E37E4"/>
    <w:rsid w:val="00603D61"/>
    <w:rsid w:val="006042A2"/>
    <w:rsid w:val="00616F3F"/>
    <w:rsid w:val="006247C4"/>
    <w:rsid w:val="00661D4C"/>
    <w:rsid w:val="006F6326"/>
    <w:rsid w:val="006F6731"/>
    <w:rsid w:val="00721109"/>
    <w:rsid w:val="007908F4"/>
    <w:rsid w:val="007D270E"/>
    <w:rsid w:val="00801BEB"/>
    <w:rsid w:val="00804BF2"/>
    <w:rsid w:val="008101B4"/>
    <w:rsid w:val="00834D72"/>
    <w:rsid w:val="00844D21"/>
    <w:rsid w:val="00854133"/>
    <w:rsid w:val="008613FB"/>
    <w:rsid w:val="008676E5"/>
    <w:rsid w:val="008900A7"/>
    <w:rsid w:val="00891B19"/>
    <w:rsid w:val="008A22C6"/>
    <w:rsid w:val="008B602C"/>
    <w:rsid w:val="008E1948"/>
    <w:rsid w:val="008E4629"/>
    <w:rsid w:val="009704A9"/>
    <w:rsid w:val="00986C99"/>
    <w:rsid w:val="009D4A4E"/>
    <w:rsid w:val="009F048F"/>
    <w:rsid w:val="009F08A4"/>
    <w:rsid w:val="009F6401"/>
    <w:rsid w:val="00A12928"/>
    <w:rsid w:val="00A64D4C"/>
    <w:rsid w:val="00A730B0"/>
    <w:rsid w:val="00A96C08"/>
    <w:rsid w:val="00AC5899"/>
    <w:rsid w:val="00B15340"/>
    <w:rsid w:val="00B87695"/>
    <w:rsid w:val="00B928EF"/>
    <w:rsid w:val="00B92C59"/>
    <w:rsid w:val="00BD4490"/>
    <w:rsid w:val="00BE1FD4"/>
    <w:rsid w:val="00BF240D"/>
    <w:rsid w:val="00C04873"/>
    <w:rsid w:val="00C07F80"/>
    <w:rsid w:val="00C251F7"/>
    <w:rsid w:val="00C6130E"/>
    <w:rsid w:val="00C6455F"/>
    <w:rsid w:val="00C678ED"/>
    <w:rsid w:val="00CB5E4F"/>
    <w:rsid w:val="00CD4BC9"/>
    <w:rsid w:val="00CE6085"/>
    <w:rsid w:val="00CF5019"/>
    <w:rsid w:val="00D177E3"/>
    <w:rsid w:val="00D33F83"/>
    <w:rsid w:val="00D543D9"/>
    <w:rsid w:val="00D95BE5"/>
    <w:rsid w:val="00DB01D4"/>
    <w:rsid w:val="00DC2E8D"/>
    <w:rsid w:val="00DD1A34"/>
    <w:rsid w:val="00DD4885"/>
    <w:rsid w:val="00DD51B2"/>
    <w:rsid w:val="00E127E3"/>
    <w:rsid w:val="00E20A54"/>
    <w:rsid w:val="00E270E5"/>
    <w:rsid w:val="00E32966"/>
    <w:rsid w:val="00E55037"/>
    <w:rsid w:val="00E63FC1"/>
    <w:rsid w:val="00E97F84"/>
    <w:rsid w:val="00F11FD1"/>
    <w:rsid w:val="00F45FA7"/>
    <w:rsid w:val="00F64579"/>
    <w:rsid w:val="00FD2482"/>
    <w:rsid w:val="00FD3A85"/>
    <w:rsid w:val="00FE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5863&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documents/s67388/Affordable%20Housing%20Delivery%20Programm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E41F-92C5-427B-A6FD-8A24059D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26C2D78E</Template>
  <TotalTime>40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14</cp:revision>
  <cp:lastPrinted>2015-07-27T09:35:00Z</cp:lastPrinted>
  <dcterms:created xsi:type="dcterms:W3CDTF">2023-05-10T17:15:00Z</dcterms:created>
  <dcterms:modified xsi:type="dcterms:W3CDTF">2023-06-08T12:47:00Z</dcterms:modified>
</cp:coreProperties>
</file>